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C" w:rsidRPr="004674FA" w:rsidRDefault="00640686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APPENDIX No. 1</w:t>
      </w: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MODEL FOR THE FINANCIAL BID OFFER AND REFFERENCES THE ASSESSMENT WHEREOF DEPENDS ON AUTOMATIC FORMULAE 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873C43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4674FA">
        <w:rPr>
          <w:rFonts w:ascii="Arial" w:hAnsi="Arial" w:cs="Arial"/>
          <w:i/>
          <w:sz w:val="22"/>
          <w:szCs w:val="22"/>
          <w:lang w:val="en-US"/>
        </w:rPr>
        <w:t>Mr</w:t>
      </w:r>
      <w:proofErr w:type="spellEnd"/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proofErr w:type="spellStart"/>
      <w:r w:rsidRPr="004674FA">
        <w:rPr>
          <w:rFonts w:ascii="Arial" w:hAnsi="Arial" w:cs="Arial"/>
          <w:i/>
          <w:sz w:val="22"/>
          <w:szCs w:val="22"/>
          <w:lang w:val="en-US"/>
        </w:rPr>
        <w:t>Ms</w:t>
      </w:r>
      <w:proofErr w:type="spellEnd"/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</w:t>
      </w:r>
      <w:r w:rsidR="00F01542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B01555">
        <w:rPr>
          <w:rFonts w:ascii="Arial" w:hAnsi="Arial" w:cs="Arial"/>
          <w:i/>
          <w:sz w:val="22"/>
          <w:szCs w:val="22"/>
          <w:lang w:val="en-US"/>
        </w:rPr>
        <w:t>“</w:t>
      </w:r>
      <w:r w:rsidR="004250D3" w:rsidRPr="004250D3">
        <w:rPr>
          <w:rFonts w:ascii="Arial" w:hAnsi="Arial" w:cs="Arial"/>
          <w:i/>
          <w:sz w:val="22"/>
          <w:szCs w:val="22"/>
          <w:lang w:val="en-US"/>
        </w:rPr>
        <w:t>2022-051 SUPPLY OF NUTRITIONAL SUPPLEMENTS</w:t>
      </w:r>
      <w:r w:rsidR="00E342BD">
        <w:rPr>
          <w:rFonts w:ascii="Arial" w:hAnsi="Arial" w:cs="Arial"/>
          <w:i/>
          <w:sz w:val="22"/>
          <w:szCs w:val="22"/>
          <w:lang w:val="en-US"/>
        </w:rPr>
        <w:t>”</w:t>
      </w:r>
      <w:r w:rsidRPr="004674FA">
        <w:rPr>
          <w:rFonts w:ascii="Arial" w:hAnsi="Arial" w:cs="Arial"/>
          <w:i/>
          <w:sz w:val="22"/>
          <w:szCs w:val="22"/>
          <w:lang w:val="en-US"/>
        </w:rPr>
        <w:t>, hereby undertakes (in his or her own name or on behalf of the company he or she represents) to carry them out strictly subject to the conditions below:</w:t>
      </w:r>
    </w:p>
    <w:p w:rsidR="001E1AA2" w:rsidRDefault="001E1AA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363559" w:rsidRDefault="00363559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1E1AA2" w:rsidRDefault="001E1AA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1E1AA2" w:rsidRDefault="001E1AA2" w:rsidP="001E1AA2">
      <w:pPr>
        <w:pStyle w:val="Sangradetextonormal"/>
        <w:numPr>
          <w:ilvl w:val="0"/>
          <w:numId w:val="2"/>
        </w:numPr>
        <w:textAlignment w:val="auto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Financial bid offer</w:t>
      </w:r>
      <w:r>
        <w:rPr>
          <w:rFonts w:ascii="Arial" w:hAnsi="Arial" w:cs="Arial"/>
          <w:i/>
          <w:sz w:val="22"/>
          <w:szCs w:val="22"/>
          <w:lang w:val="en-US"/>
        </w:rPr>
        <w:t xml:space="preserve"> (up to 45 points)</w:t>
      </w:r>
    </w:p>
    <w:p w:rsidR="00363559" w:rsidRPr="004674FA" w:rsidRDefault="00363559" w:rsidP="00363559">
      <w:pPr>
        <w:pStyle w:val="Sangradetextonormal"/>
        <w:ind w:left="720" w:firstLine="0"/>
        <w:textAlignment w:val="auto"/>
        <w:rPr>
          <w:rFonts w:ascii="Arial" w:hAnsi="Arial" w:cs="Arial"/>
          <w:i/>
          <w:sz w:val="22"/>
          <w:szCs w:val="22"/>
          <w:lang w:val="en-US"/>
        </w:rPr>
      </w:pPr>
    </w:p>
    <w:p w:rsidR="001E1AA2" w:rsidRDefault="001E1AA2" w:rsidP="001E1AA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363559" w:rsidRDefault="00363559" w:rsidP="001E1AA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1E1AA2" w:rsidRPr="006F18E7" w:rsidRDefault="001E1AA2" w:rsidP="001E1AA2">
      <w:pPr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F18E7">
        <w:rPr>
          <w:rFonts w:ascii="Arial" w:hAnsi="Arial" w:cs="Arial"/>
          <w:b/>
          <w:sz w:val="22"/>
          <w:szCs w:val="22"/>
          <w:u w:val="single"/>
          <w:lang w:val="en-US"/>
        </w:rPr>
        <w:t>LOT 1: In Cunene:</w:t>
      </w:r>
    </w:p>
    <w:p w:rsidR="001E1AA2" w:rsidRPr="004674FA" w:rsidRDefault="001E1AA2" w:rsidP="001E1AA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22"/>
        <w:gridCol w:w="1985"/>
        <w:gridCol w:w="1842"/>
        <w:gridCol w:w="2122"/>
      </w:tblGrid>
      <w:tr w:rsidR="001E1AA2" w:rsidRPr="004674FA" w:rsidTr="00633FA6">
        <w:trPr>
          <w:trHeight w:val="417"/>
          <w:jc w:val="center"/>
        </w:trPr>
        <w:tc>
          <w:tcPr>
            <w:tcW w:w="2263" w:type="dxa"/>
            <w:shd w:val="clear" w:color="auto" w:fill="E7E6E6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</w:t>
            </w:r>
          </w:p>
        </w:tc>
        <w:tc>
          <w:tcPr>
            <w:tcW w:w="1422" w:type="dxa"/>
            <w:shd w:val="clear" w:color="auto" w:fill="E7E6E6"/>
            <w:vAlign w:val="center"/>
          </w:tcPr>
          <w:p w:rsidR="001E1AA2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F5455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VOLUME (Estimated quantity)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</w:t>
            </w: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UNIT </w:t>
            </w: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1E1AA2" w:rsidRPr="00F5455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F5455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TOTAL PRICE</w:t>
            </w:r>
          </w:p>
        </w:tc>
        <w:tc>
          <w:tcPr>
            <w:tcW w:w="2122" w:type="dxa"/>
            <w:shd w:val="clear" w:color="auto" w:fill="E7E6E6"/>
            <w:vAlign w:val="center"/>
          </w:tcPr>
          <w:p w:rsidR="001E1AA2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UNIT</w:t>
            </w: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PRICE</w:t>
            </w:r>
          </w:p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OFFERED</w:t>
            </w:r>
          </w:p>
          <w:p w:rsidR="001E1AA2" w:rsidRPr="004674FA" w:rsidRDefault="001E1AA2" w:rsidP="00633FA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</w:tr>
      <w:tr w:rsidR="001E1AA2" w:rsidRPr="004674FA" w:rsidTr="00633FA6">
        <w:trPr>
          <w:trHeight w:val="87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E1AA2" w:rsidRPr="004674FA" w:rsidRDefault="001E1AA2" w:rsidP="00633F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92E5E">
              <w:rPr>
                <w:rFonts w:ascii="Arial" w:hAnsi="Arial" w:cs="Arial"/>
                <w:b/>
                <w:sz w:val="22"/>
                <w:szCs w:val="22"/>
                <w:lang w:val="en-US"/>
              </w:rPr>
              <w:t>Enov'Nutributter</w:t>
            </w:r>
            <w:proofErr w:type="spellEnd"/>
            <w:r w:rsidRPr="00692E5E">
              <w:rPr>
                <w:rFonts w:ascii="Arial" w:hAnsi="Arial" w:cs="Arial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1E1AA2" w:rsidRPr="00F5455A" w:rsidRDefault="001E1AA2" w:rsidP="00633FA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471D6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149.040</w:t>
            </w:r>
          </w:p>
        </w:tc>
        <w:tc>
          <w:tcPr>
            <w:tcW w:w="1985" w:type="dxa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 xml:space="preserve">€ </w:t>
            </w:r>
            <w:r w:rsidRPr="00F5455A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0,13</w:t>
            </w:r>
          </w:p>
        </w:tc>
        <w:tc>
          <w:tcPr>
            <w:tcW w:w="1842" w:type="dxa"/>
            <w:vAlign w:val="center"/>
          </w:tcPr>
          <w:p w:rsidR="001E1AA2" w:rsidRPr="006A690D" w:rsidRDefault="001E1AA2" w:rsidP="0063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A690D">
              <w:rPr>
                <w:rFonts w:ascii="Arial" w:hAnsi="Arial" w:cs="Arial"/>
                <w:b/>
                <w:color w:val="000000"/>
                <w:lang w:val="en-US"/>
              </w:rPr>
              <w:t>€ 19.375,20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1E1AA2" w:rsidRDefault="001E1AA2" w:rsidP="001E1AA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1E1AA2" w:rsidRDefault="001E1AA2" w:rsidP="001E1AA2">
      <w:pPr>
        <w:pStyle w:val="Sangradetextonormal"/>
        <w:ind w:left="0" w:firstLine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E1AA2" w:rsidRDefault="001E1AA2" w:rsidP="001E1AA2">
      <w:pPr>
        <w:pStyle w:val="Sangradetextonormal"/>
        <w:ind w:left="0" w:firstLine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F18E7">
        <w:rPr>
          <w:rFonts w:ascii="Arial" w:hAnsi="Arial" w:cs="Arial"/>
          <w:b/>
          <w:sz w:val="22"/>
          <w:szCs w:val="22"/>
          <w:u w:val="single"/>
          <w:lang w:val="en-US"/>
        </w:rPr>
        <w:t>LOT 2: in Huila:</w:t>
      </w:r>
    </w:p>
    <w:p w:rsidR="001E1AA2" w:rsidRPr="004674FA" w:rsidRDefault="001E1AA2" w:rsidP="001E1AA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22"/>
        <w:gridCol w:w="1985"/>
        <w:gridCol w:w="1842"/>
        <w:gridCol w:w="2122"/>
      </w:tblGrid>
      <w:tr w:rsidR="001E1AA2" w:rsidRPr="004674FA" w:rsidTr="00633FA6">
        <w:trPr>
          <w:trHeight w:val="417"/>
          <w:jc w:val="center"/>
        </w:trPr>
        <w:tc>
          <w:tcPr>
            <w:tcW w:w="2263" w:type="dxa"/>
            <w:shd w:val="clear" w:color="auto" w:fill="E7E6E6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</w:t>
            </w:r>
          </w:p>
        </w:tc>
        <w:tc>
          <w:tcPr>
            <w:tcW w:w="1422" w:type="dxa"/>
            <w:shd w:val="clear" w:color="auto" w:fill="E7E6E6"/>
            <w:vAlign w:val="center"/>
          </w:tcPr>
          <w:p w:rsidR="001E1AA2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F5455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VOLUME (Estimated quantity)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</w:t>
            </w: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UNIT </w:t>
            </w: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1E1AA2" w:rsidRPr="00F5455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F5455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TOTAL PRICE</w:t>
            </w:r>
          </w:p>
        </w:tc>
        <w:tc>
          <w:tcPr>
            <w:tcW w:w="2122" w:type="dxa"/>
            <w:shd w:val="clear" w:color="auto" w:fill="E7E6E6"/>
            <w:vAlign w:val="center"/>
          </w:tcPr>
          <w:p w:rsidR="001E1AA2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UNIT</w:t>
            </w: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PRICE</w:t>
            </w:r>
          </w:p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OFFERED</w:t>
            </w:r>
          </w:p>
          <w:p w:rsidR="001E1AA2" w:rsidRPr="004674FA" w:rsidRDefault="001E1AA2" w:rsidP="00633FA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</w:tr>
      <w:tr w:rsidR="001E1AA2" w:rsidRPr="004674FA" w:rsidTr="00633FA6">
        <w:trPr>
          <w:trHeight w:val="87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E1AA2" w:rsidRPr="004674FA" w:rsidRDefault="001E1AA2" w:rsidP="00633F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92E5E">
              <w:rPr>
                <w:rFonts w:ascii="Arial" w:hAnsi="Arial" w:cs="Arial"/>
                <w:b/>
                <w:sz w:val="22"/>
                <w:szCs w:val="22"/>
                <w:lang w:val="en-US"/>
              </w:rPr>
              <w:t>Enov'Nutributter</w:t>
            </w:r>
            <w:proofErr w:type="spellEnd"/>
            <w:r w:rsidRPr="00692E5E">
              <w:rPr>
                <w:rFonts w:ascii="Arial" w:hAnsi="Arial" w:cs="Arial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1E1AA2" w:rsidRPr="00F5455A" w:rsidRDefault="001E1AA2" w:rsidP="00633FA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471D6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149.040</w:t>
            </w:r>
          </w:p>
        </w:tc>
        <w:tc>
          <w:tcPr>
            <w:tcW w:w="1985" w:type="dxa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 xml:space="preserve">€ </w:t>
            </w:r>
            <w:r w:rsidRPr="00F5455A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0,13</w:t>
            </w:r>
          </w:p>
        </w:tc>
        <w:tc>
          <w:tcPr>
            <w:tcW w:w="1842" w:type="dxa"/>
            <w:vAlign w:val="center"/>
          </w:tcPr>
          <w:p w:rsidR="001E1AA2" w:rsidRPr="006A690D" w:rsidRDefault="001E1AA2" w:rsidP="00633F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6A690D">
              <w:rPr>
                <w:rFonts w:ascii="Arial" w:hAnsi="Arial" w:cs="Arial"/>
                <w:b/>
                <w:color w:val="000000"/>
                <w:lang w:val="en-US"/>
              </w:rPr>
              <w:t>€ 19.375,20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E1AA2" w:rsidRPr="004674FA" w:rsidRDefault="001E1AA2" w:rsidP="00633FA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1E1AA2" w:rsidRDefault="001E1AA2" w:rsidP="001E1AA2">
      <w:pPr>
        <w:rPr>
          <w:rFonts w:ascii="Arial" w:hAnsi="Arial" w:cs="Arial"/>
          <w:sz w:val="22"/>
          <w:szCs w:val="22"/>
          <w:lang w:val="en-US"/>
        </w:rPr>
      </w:pPr>
    </w:p>
    <w:p w:rsidR="001E1AA2" w:rsidRDefault="001E1AA2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363559" w:rsidRPr="004674FA" w:rsidRDefault="00363559" w:rsidP="001E1AA2">
      <w:pPr>
        <w:rPr>
          <w:rFonts w:ascii="Arial" w:hAnsi="Arial" w:cs="Arial"/>
          <w:sz w:val="22"/>
          <w:szCs w:val="22"/>
          <w:lang w:val="en-US"/>
        </w:rPr>
      </w:pPr>
    </w:p>
    <w:p w:rsidR="001E1AA2" w:rsidRPr="002667BD" w:rsidRDefault="001E1AA2" w:rsidP="001E1AA2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E33513">
        <w:rPr>
          <w:rFonts w:ascii="Arial" w:hAnsi="Arial" w:cs="Arial"/>
          <w:i/>
          <w:sz w:val="22"/>
          <w:szCs w:val="22"/>
          <w:lang w:val="en-US"/>
        </w:rPr>
        <w:lastRenderedPageBreak/>
        <w:t>Automa</w:t>
      </w:r>
      <w:r>
        <w:rPr>
          <w:rFonts w:ascii="Arial" w:hAnsi="Arial" w:cs="Arial"/>
          <w:i/>
          <w:sz w:val="22"/>
          <w:szCs w:val="22"/>
          <w:lang w:val="en-US"/>
        </w:rPr>
        <w:t>tic Evaluation Criteria (up to 2</w:t>
      </w:r>
      <w:r w:rsidRPr="00E33513">
        <w:rPr>
          <w:rFonts w:ascii="Arial" w:hAnsi="Arial" w:cs="Arial"/>
          <w:i/>
          <w:sz w:val="22"/>
          <w:szCs w:val="22"/>
          <w:lang w:val="en-US"/>
        </w:rPr>
        <w:t>0 points)</w:t>
      </w:r>
      <w:bookmarkStart w:id="0" w:name="_GoBack"/>
      <w:bookmarkEnd w:id="0"/>
    </w:p>
    <w:p w:rsidR="001E1AA2" w:rsidRPr="00E33513" w:rsidRDefault="001E1AA2" w:rsidP="001E1AA2">
      <w:pPr>
        <w:pStyle w:val="Prrafodelista"/>
        <w:ind w:left="720"/>
        <w:rPr>
          <w:rFonts w:ascii="Arial" w:hAnsi="Arial" w:cs="Arial"/>
          <w:sz w:val="22"/>
          <w:szCs w:val="22"/>
          <w:lang w:val="en-US"/>
        </w:rPr>
      </w:pPr>
    </w:p>
    <w:p w:rsidR="001E1AA2" w:rsidRPr="00E33513" w:rsidRDefault="001E1AA2" w:rsidP="001E1AA2">
      <w:pPr>
        <w:pStyle w:val="Prrafodelista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bidder</w:t>
      </w:r>
      <w:r w:rsidRPr="00E33513">
        <w:rPr>
          <w:rFonts w:ascii="Arial" w:hAnsi="Arial" w:cs="Arial"/>
          <w:sz w:val="22"/>
          <w:szCs w:val="22"/>
          <w:lang w:val="en-US"/>
        </w:rPr>
        <w:t xml:space="preserve"> will indicate with “X” its answer:</w:t>
      </w:r>
    </w:p>
    <w:p w:rsidR="001E1AA2" w:rsidRDefault="001E1AA2" w:rsidP="001E1AA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65"/>
        <w:gridCol w:w="516"/>
        <w:gridCol w:w="839"/>
      </w:tblGrid>
      <w:tr w:rsidR="001E1AA2" w:rsidRPr="006D3600" w:rsidTr="00633FA6">
        <w:trPr>
          <w:trHeight w:val="430"/>
          <w:jc w:val="center"/>
        </w:trPr>
        <w:tc>
          <w:tcPr>
            <w:tcW w:w="3792" w:type="pct"/>
            <w:shd w:val="clear" w:color="auto" w:fill="D9D9D9"/>
            <w:vAlign w:val="center"/>
          </w:tcPr>
          <w:p w:rsidR="001E1AA2" w:rsidRPr="006D3600" w:rsidRDefault="001E1AA2" w:rsidP="00633FA6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36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Concept 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Period</w:t>
            </w:r>
          </w:p>
        </w:tc>
      </w:tr>
      <w:tr w:rsidR="001E1AA2" w:rsidRPr="006D3600" w:rsidTr="00633FA6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:rsidR="001E1AA2" w:rsidRPr="006D3600" w:rsidRDefault="001E1AA2" w:rsidP="00633FA6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lang w:val="en-US"/>
              </w:rPr>
            </w:pP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 xml:space="preserve">Ensure a delivery mechanism of maximum of 5 days, from dispatch of the order, to delivery at the place of delivery in </w:t>
            </w:r>
            <w:proofErr w:type="spellStart"/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Lubango</w:t>
            </w:r>
            <w:proofErr w:type="spellEnd"/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: CRESCER Project office. (up to 6 points).</w:t>
            </w:r>
          </w:p>
        </w:tc>
        <w:tc>
          <w:tcPr>
            <w:tcW w:w="436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[·] </w:t>
            </w:r>
            <w:r w:rsidRPr="006D3600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days</w:t>
            </w:r>
          </w:p>
        </w:tc>
      </w:tr>
      <w:tr w:rsidR="001E1AA2" w:rsidRPr="006D3600" w:rsidTr="00633FA6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:rsidR="001E1AA2" w:rsidRPr="00E833BB" w:rsidRDefault="001E1AA2" w:rsidP="00633FA6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 xml:space="preserve">Delivery of the products to the CRESCER Project office in </w:t>
            </w:r>
            <w:proofErr w:type="spellStart"/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Lubango</w:t>
            </w:r>
            <w:proofErr w:type="spellEnd"/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 xml:space="preserve"> instead of having to pick them up fr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om a warehouse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Lubango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(up to 4 points).</w:t>
            </w:r>
          </w:p>
        </w:tc>
        <w:tc>
          <w:tcPr>
            <w:tcW w:w="436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1E1AA2" w:rsidRDefault="000B19C3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</w:tr>
      <w:tr w:rsidR="001E1AA2" w:rsidRPr="006D3600" w:rsidTr="00633FA6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:rsidR="001E1AA2" w:rsidRPr="00E833BB" w:rsidRDefault="001E1AA2" w:rsidP="00633FA6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Verification of the order by the transporter and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corresponding delivery notes</w:t>
            </w: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. (up to 3 points).</w:t>
            </w:r>
          </w:p>
        </w:tc>
        <w:tc>
          <w:tcPr>
            <w:tcW w:w="436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1E1AA2" w:rsidRDefault="000B19C3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</w:tr>
      <w:tr w:rsidR="001E1AA2" w:rsidRPr="006D3600" w:rsidTr="00633FA6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:rsidR="001E1AA2" w:rsidRPr="00E833BB" w:rsidRDefault="001E1AA2" w:rsidP="00633FA6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Pre- and after-sales availability and technical advice: via e-mail, telephone or physical presence of specialized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technicians if necessary. </w:t>
            </w: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 xml:space="preserve"> (up to 2 points).</w:t>
            </w:r>
          </w:p>
        </w:tc>
        <w:tc>
          <w:tcPr>
            <w:tcW w:w="436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1E1AA2" w:rsidRDefault="000B19C3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</w:tr>
      <w:tr w:rsidR="001E1AA2" w:rsidRPr="006D3600" w:rsidTr="00633FA6">
        <w:trPr>
          <w:trHeight w:val="679"/>
          <w:jc w:val="center"/>
        </w:trPr>
        <w:tc>
          <w:tcPr>
            <w:tcW w:w="3792" w:type="pct"/>
            <w:shd w:val="clear" w:color="auto" w:fill="auto"/>
            <w:vAlign w:val="center"/>
          </w:tcPr>
          <w:p w:rsidR="001E1AA2" w:rsidRPr="00E833BB" w:rsidRDefault="001E1AA2" w:rsidP="00633FA6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>Invoicing in Euro instead of Kwanzas 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ill be an improvement.</w:t>
            </w:r>
            <w:r w:rsidRPr="00E833BB">
              <w:rPr>
                <w:rFonts w:ascii="Arial" w:hAnsi="Arial" w:cs="Arial"/>
                <w:sz w:val="22"/>
                <w:szCs w:val="22"/>
                <w:lang w:val="en-US"/>
              </w:rPr>
              <w:t xml:space="preserve"> (up to 5 points).</w:t>
            </w:r>
          </w:p>
        </w:tc>
        <w:tc>
          <w:tcPr>
            <w:tcW w:w="436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1E1AA2" w:rsidRPr="006D3600" w:rsidRDefault="001E1AA2" w:rsidP="00633FA6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1E1AA2" w:rsidRDefault="000B19C3" w:rsidP="00633FA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</w:tr>
    </w:tbl>
    <w:p w:rsidR="001E1AA2" w:rsidRDefault="001E1AA2" w:rsidP="001E1AA2">
      <w:pPr>
        <w:rPr>
          <w:rFonts w:ascii="Arial" w:hAnsi="Arial" w:cs="Arial"/>
          <w:sz w:val="22"/>
          <w:szCs w:val="22"/>
        </w:rPr>
      </w:pPr>
    </w:p>
    <w:p w:rsidR="001E1AA2" w:rsidRPr="004674FA" w:rsidRDefault="001E1AA2" w:rsidP="001E1AA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  <w:r w:rsidRPr="004674FA">
        <w:rPr>
          <w:rFonts w:ascii="Arial" w:hAnsi="Arial" w:cs="Arial"/>
          <w:sz w:val="22"/>
          <w:szCs w:val="22"/>
          <w:lang w:val="en-US"/>
        </w:rPr>
        <w:t>Signature and stamp of the bidding company</w:t>
      </w: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Validity of the bid............................</w:t>
      </w:r>
      <w:r w:rsidR="00A21200">
        <w:rPr>
          <w:rFonts w:ascii="Arial" w:hAnsi="Arial" w:cs="Arial"/>
          <w:i/>
          <w:sz w:val="22"/>
          <w:szCs w:val="22"/>
          <w:lang w:val="en-US"/>
        </w:rPr>
        <w:t>4</w:t>
      </w: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months</w:t>
      </w:r>
    </w:p>
    <w:p w:rsidR="00873C43" w:rsidRPr="004674FA" w:rsidRDefault="00873C43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45672B" w:rsidRPr="00FC47A7" w:rsidRDefault="00056F3C" w:rsidP="00FC47A7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(bids for a value and/or period of time greater than that of the invitation to tender shall be excluded from the </w:t>
      </w:r>
      <w:r w:rsidR="00FC47A7">
        <w:rPr>
          <w:rFonts w:ascii="Arial" w:hAnsi="Arial" w:cs="Arial"/>
          <w:i/>
          <w:sz w:val="22"/>
          <w:szCs w:val="22"/>
          <w:lang w:val="en-US"/>
        </w:rPr>
        <w:t>procedure</w:t>
      </w:r>
    </w:p>
    <w:sectPr w:rsidR="0045672B" w:rsidRPr="00FC47A7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BE" w:rsidRDefault="00630BBE">
      <w:r>
        <w:separator/>
      </w:r>
    </w:p>
  </w:endnote>
  <w:endnote w:type="continuationSeparator" w:id="0">
    <w:p w:rsidR="00630BBE" w:rsidRDefault="006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5B6690" w:rsidRPr="005B6690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BE" w:rsidRDefault="00630BBE">
      <w:r>
        <w:separator/>
      </w:r>
    </w:p>
  </w:footnote>
  <w:footnote w:type="continuationSeparator" w:id="0">
    <w:p w:rsidR="00630BBE" w:rsidRDefault="0063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4B2966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52919883" wp14:editId="3694B0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1" name="Imagen 1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5B6690">
    <w:pPr>
      <w:pStyle w:val="p1"/>
      <w:framePr w:w="4701" w:h="905" w:hSpace="142" w:wrap="notBeside" w:vAnchor="page" w:hAnchor="page" w:x="5859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5B6690">
    <w:pPr>
      <w:pStyle w:val="p1"/>
      <w:framePr w:w="4701" w:h="905" w:hSpace="142" w:wrap="notBeside" w:vAnchor="page" w:hAnchor="page" w:x="5859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5B6690">
    <w:pPr>
      <w:pStyle w:val="p1"/>
      <w:framePr w:w="4701" w:h="905" w:hSpace="142" w:wrap="notBeside" w:vAnchor="page" w:hAnchor="page" w:x="5859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5B6690">
    <w:pPr>
      <w:pStyle w:val="p1"/>
      <w:framePr w:w="4701" w:h="905" w:hSpace="142" w:wrap="notBeside" w:vAnchor="page" w:hAnchor="page" w:x="5859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="005B6690" w:rsidRPr="0005742F">
      <w:rPr>
        <w:rFonts w:ascii="Arial" w:eastAsia="Arial" w:hAnsi="Arial" w:cs="Arial"/>
        <w:color w:val="000000"/>
        <w:sz w:val="16"/>
        <w:szCs w:val="16"/>
        <w:lang w:val="ca-ES"/>
      </w:rPr>
      <w:t>https://vhir.vallhebron.com/ca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626314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1CDEDA79" wp14:editId="2C7014FF">
          <wp:simplePos x="0" y="0"/>
          <wp:positionH relativeFrom="column">
            <wp:posOffset>-106680</wp:posOffset>
          </wp:positionH>
          <wp:positionV relativeFrom="paragraph">
            <wp:posOffset>83820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9B2E51">
    <w:pPr>
      <w:pStyle w:val="p1"/>
      <w:framePr w:w="5019" w:h="905" w:hSpace="142" w:wrap="notBeside" w:vAnchor="page" w:hAnchor="page" w:x="5521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="009B2E51" w:rsidRPr="0005742F">
      <w:rPr>
        <w:rFonts w:ascii="Arial" w:eastAsia="Arial" w:hAnsi="Arial" w:cs="Arial"/>
        <w:color w:val="000000"/>
        <w:sz w:val="16"/>
        <w:szCs w:val="16"/>
        <w:lang w:val="ca-ES"/>
      </w:rPr>
      <w:t>https://vhir.vallhebron.com/ca</w:t>
    </w:r>
  </w:p>
  <w:p w:rsidR="0017298B" w:rsidRPr="00873C43" w:rsidRDefault="0017298B" w:rsidP="00873C43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587E5A5C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56F3C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07DB"/>
    <w:rsid w:val="000B104D"/>
    <w:rsid w:val="000B19C3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1213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1AA2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67BD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4FBF"/>
    <w:rsid w:val="00347EB6"/>
    <w:rsid w:val="0035424C"/>
    <w:rsid w:val="00357DEC"/>
    <w:rsid w:val="00360275"/>
    <w:rsid w:val="00363559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1CAF"/>
    <w:rsid w:val="003D6D6E"/>
    <w:rsid w:val="003E0A75"/>
    <w:rsid w:val="003E157F"/>
    <w:rsid w:val="003E7F7E"/>
    <w:rsid w:val="003F6321"/>
    <w:rsid w:val="004049FF"/>
    <w:rsid w:val="00415B49"/>
    <w:rsid w:val="0041611A"/>
    <w:rsid w:val="004250D3"/>
    <w:rsid w:val="004253CA"/>
    <w:rsid w:val="00431430"/>
    <w:rsid w:val="00431E8E"/>
    <w:rsid w:val="00437217"/>
    <w:rsid w:val="00446493"/>
    <w:rsid w:val="00452A3B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B2966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B6690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314"/>
    <w:rsid w:val="006267BE"/>
    <w:rsid w:val="00630BBE"/>
    <w:rsid w:val="00631784"/>
    <w:rsid w:val="00634CBB"/>
    <w:rsid w:val="006357B6"/>
    <w:rsid w:val="00636B82"/>
    <w:rsid w:val="00640686"/>
    <w:rsid w:val="00642F1E"/>
    <w:rsid w:val="00643382"/>
    <w:rsid w:val="006437A8"/>
    <w:rsid w:val="00644550"/>
    <w:rsid w:val="006468A4"/>
    <w:rsid w:val="0065522E"/>
    <w:rsid w:val="0065592A"/>
    <w:rsid w:val="00662EE8"/>
    <w:rsid w:val="0066689D"/>
    <w:rsid w:val="0067551F"/>
    <w:rsid w:val="00676247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371"/>
    <w:rsid w:val="006B2EA6"/>
    <w:rsid w:val="006C015A"/>
    <w:rsid w:val="006C060C"/>
    <w:rsid w:val="006C0FEC"/>
    <w:rsid w:val="006C36EF"/>
    <w:rsid w:val="006C36F6"/>
    <w:rsid w:val="006C5966"/>
    <w:rsid w:val="006C78B7"/>
    <w:rsid w:val="006D069D"/>
    <w:rsid w:val="006D0E36"/>
    <w:rsid w:val="006D3600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2EB2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32C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0D21"/>
    <w:rsid w:val="00811FEF"/>
    <w:rsid w:val="0081526D"/>
    <w:rsid w:val="00815D9D"/>
    <w:rsid w:val="00817CC8"/>
    <w:rsid w:val="00830798"/>
    <w:rsid w:val="00831191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73C43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D5412"/>
    <w:rsid w:val="008E54D1"/>
    <w:rsid w:val="008E58B0"/>
    <w:rsid w:val="008F33AB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4F28"/>
    <w:rsid w:val="00955B18"/>
    <w:rsid w:val="0096067A"/>
    <w:rsid w:val="00966531"/>
    <w:rsid w:val="00971704"/>
    <w:rsid w:val="00973522"/>
    <w:rsid w:val="009751E4"/>
    <w:rsid w:val="00975D38"/>
    <w:rsid w:val="0097705A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2E51"/>
    <w:rsid w:val="009B64E1"/>
    <w:rsid w:val="009C1939"/>
    <w:rsid w:val="009C2E1C"/>
    <w:rsid w:val="009D3362"/>
    <w:rsid w:val="009D7657"/>
    <w:rsid w:val="009E150F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17D0B"/>
    <w:rsid w:val="00A21200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1555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168B"/>
    <w:rsid w:val="00B927F6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56C73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7B50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33513"/>
    <w:rsid w:val="00E342BD"/>
    <w:rsid w:val="00E40439"/>
    <w:rsid w:val="00E408E8"/>
    <w:rsid w:val="00E515AA"/>
    <w:rsid w:val="00E52618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1542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86754"/>
    <w:rsid w:val="00F90C4A"/>
    <w:rsid w:val="00F957DA"/>
    <w:rsid w:val="00F95AB0"/>
    <w:rsid w:val="00F96F91"/>
    <w:rsid w:val="00FA2B05"/>
    <w:rsid w:val="00FA2FFD"/>
    <w:rsid w:val="00FA5907"/>
    <w:rsid w:val="00FA65D4"/>
    <w:rsid w:val="00FA6A9F"/>
    <w:rsid w:val="00FB06F3"/>
    <w:rsid w:val="00FB1540"/>
    <w:rsid w:val="00FB17C6"/>
    <w:rsid w:val="00FB5FDB"/>
    <w:rsid w:val="00FB71F1"/>
    <w:rsid w:val="00FC02A0"/>
    <w:rsid w:val="00FC47A7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F567CD"/>
  <w15:chartTrackingRefBased/>
  <w15:docId w15:val="{BEC6E90F-28F7-4FE1-8F59-162C972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B790-3B23-408B-BB6A-F47CC5FA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28</cp:revision>
  <cp:lastPrinted>2018-06-11T10:35:00Z</cp:lastPrinted>
  <dcterms:created xsi:type="dcterms:W3CDTF">2021-06-03T09:40:00Z</dcterms:created>
  <dcterms:modified xsi:type="dcterms:W3CDTF">2022-11-13T08:20:00Z</dcterms:modified>
</cp:coreProperties>
</file>